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</w:rPr>
        <w:drawing>
          <wp:inline distB="114300" distT="114300" distL="114300" distR="114300">
            <wp:extent cx="5943600" cy="1270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  <w:rtl w:val="0"/>
        </w:rPr>
        <w:t xml:space="preserve">California Domestic Worker Employment Timesheet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  <w:rtl w:val="0"/>
        </w:rPr>
        <w:t xml:space="preserve">(for Non-Personal Attendants)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666666"/>
          <w:sz w:val="30"/>
          <w:szCs w:val="3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time sheet should be used by domestic workers who are classified as non-personal attendants under California law and by their employers. 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Non-personal attendants, under state law, are domestic workers, including nannies, house cleaners, cooks, and home attendants,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spend more than 20% of their time on non-caregiving duties such as housekeeping, gardening, laundry, cooking and cleaning for the entire family, etc.  This means they spend LESS than 80% of their time providing caregiving services such as supervision, feeding, and dressing for children, seniors or people with disabilities.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To Be Completed By the Employee</w:t>
      </w: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6210"/>
        <w:tblGridChange w:id="0">
          <w:tblGrid>
            <w:gridCol w:w="2178"/>
            <w:gridCol w:w="621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Employee Name: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6.0" w:type="dxa"/>
        <w:jc w:val="center"/>
        <w:tblLayout w:type="fixed"/>
        <w:tblLook w:val="0400"/>
      </w:tblPr>
      <w:tblGrid>
        <w:gridCol w:w="1523"/>
        <w:gridCol w:w="1260"/>
        <w:gridCol w:w="1080"/>
        <w:gridCol w:w="990"/>
        <w:gridCol w:w="1080"/>
        <w:gridCol w:w="1080"/>
        <w:gridCol w:w="1620"/>
        <w:gridCol w:w="1633"/>
        <w:tblGridChange w:id="0">
          <w:tblGrid>
            <w:gridCol w:w="1523"/>
            <w:gridCol w:w="1260"/>
            <w:gridCol w:w="1080"/>
            <w:gridCol w:w="990"/>
            <w:gridCol w:w="1080"/>
            <w:gridCol w:w="1080"/>
            <w:gridCol w:w="1620"/>
            <w:gridCol w:w="16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Week of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00000"/>
                <w:rtl w:val="0"/>
              </w:rPr>
              <w:t xml:space="preserve">[insert dates]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Time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Time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Meal Period Time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Meal Period Time In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Daily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Paid Sick Hours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Vacation Hours 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Sunday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Thursday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Saturday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TOTAL WEEKLY HOURS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Helvetica Neue" w:cs="Helvetica Neue" w:eastAsia="Helvetica Neue" w:hAnsi="Helvetica Neu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 certify that the above record is true and correct.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192.0" w:type="dxa"/>
        <w:jc w:val="left"/>
        <w:tblInd w:w="0.0" w:type="dxa"/>
        <w:tblLayout w:type="fixed"/>
        <w:tblLook w:val="0400"/>
      </w:tblPr>
      <w:tblGrid>
        <w:gridCol w:w="2376"/>
        <w:gridCol w:w="3816"/>
        <w:tblGridChange w:id="0">
          <w:tblGrid>
            <w:gridCol w:w="2376"/>
            <w:gridCol w:w="3816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Employee Signature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To Be Completed By the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Employers’ Name: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Regular Rate of Pay:</w:t>
      </w:r>
      <w:r w:rsidDel="00000000" w:rsidR="00000000" w:rsidRPr="00000000">
        <w:rPr>
          <w:rFonts w:ascii="Helvetica Neue" w:cs="Helvetica Neue" w:eastAsia="Helvetica Neue" w:hAnsi="Helvetica Neue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4"/>
        <w:tblW w:w="9586.1961635076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2.98241607673"/>
        <w:gridCol w:w="2220"/>
        <w:gridCol w:w="2445"/>
        <w:gridCol w:w="2328.21374743092"/>
        <w:tblGridChange w:id="0">
          <w:tblGrid>
            <w:gridCol w:w="2592.98241607673"/>
            <w:gridCol w:w="2220"/>
            <w:gridCol w:w="2445"/>
            <w:gridCol w:w="2328.21374743092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Rate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x Total Weekly Hours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= Pay Owed 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Regular Rate of Pay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Overtime (1.5x)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Double Time (2x)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.921875" w:hRule="atLeast"/>
        </w:trPr>
        <w:tc>
          <w:tcPr>
            <w:gridSpan w:val="3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TOTAL PAY OWED =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Rate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x Total Weekly Hours 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= Hours Accrued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Paid Time Off (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such as vacation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Paid Sick Time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 paid: 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 certify that the above record is true and correct. 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__________________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Employer Signature </w:t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100" w:line="240" w:lineRule="auto"/>
        <w:ind w:left="720" w:firstLine="0"/>
        <w:rPr>
          <w:rFonts w:ascii="Helvetica Neue" w:cs="Helvetica Neue" w:eastAsia="Helvetica Neue" w:hAnsi="Helvetica Neue"/>
        </w:rPr>
      </w:pPr>
      <w:bookmarkStart w:colFirst="0" w:colLast="0" w:name="_qjhgmuywkva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7">
      <w:pPr>
        <w:spacing w:after="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Created in consultation with the Women’s Employment Law Clinic at Golden Gate University.</w:t>
      </w:r>
    </w:p>
  </w:footnote>
  <w:footnote w:id="1">
    <w:p w:rsidR="00000000" w:rsidDel="00000000" w:rsidP="00000000" w:rsidRDefault="00000000" w:rsidRPr="00000000" w14:paraId="0000009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See the Hand in Hand CA Domestic Worker Overtime Rules  on calculating overtime pay at 1.5x or 2.0x and for information on how to calculate Regular Rate of Pay.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See the Hand in Hand CA Domestic Worker Overtime Rules on calculating overtime pay at 1.5x or 2.0x and for information on how to calculate Regular Rate of Pay.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